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1E" w:rsidRDefault="0034331E" w:rsidP="0034331E">
      <w:pPr>
        <w:spacing w:after="384"/>
        <w:ind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1FB7A5" wp14:editId="38D4EA84">
                <wp:simplePos x="0" y="0"/>
                <wp:positionH relativeFrom="column">
                  <wp:posOffset>-172353</wp:posOffset>
                </wp:positionH>
                <wp:positionV relativeFrom="paragraph">
                  <wp:posOffset>-112147</wp:posOffset>
                </wp:positionV>
                <wp:extent cx="7553087" cy="355333"/>
                <wp:effectExtent l="0" t="0" r="0" b="0"/>
                <wp:wrapNone/>
                <wp:docPr id="13884" name="Group 13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087" cy="355333"/>
                          <a:chOff x="0" y="0"/>
                          <a:chExt cx="7553087" cy="355333"/>
                        </a:xfrm>
                      </wpg:grpSpPr>
                      <wps:wsp>
                        <wps:cNvPr id="14208" name="Shape 14208"/>
                        <wps:cNvSpPr/>
                        <wps:spPr>
                          <a:xfrm>
                            <a:off x="0" y="0"/>
                            <a:ext cx="7553087" cy="35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087" h="355333">
                                <a:moveTo>
                                  <a:pt x="0" y="0"/>
                                </a:moveTo>
                                <a:lnTo>
                                  <a:pt x="7553087" y="0"/>
                                </a:lnTo>
                                <a:lnTo>
                                  <a:pt x="7553087" y="355333"/>
                                </a:lnTo>
                                <a:lnTo>
                                  <a:pt x="0" y="355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>
                              <a:alpha val="3882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D0CC2" id="Group 13884" o:spid="_x0000_s1026" style="position:absolute;margin-left:-13.55pt;margin-top:-8.85pt;width:594.75pt;height:28pt;z-index:-251657216" coordsize="75530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">
                <v:shape id="Shape 14208" o:spid="_x0000_s1027" style="position:absolute;width:75530;height:3553;visibility:visible;mso-wrap-style:square;v-text-anchor:top" coordsize="7553087,35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" path="m,l7553087,r,355333l,355333,,e" fillcolor="#d9d9d9" stroked="f" strokeweight="0">
                  <v:fill opacity="25443f"/>
                  <v:stroke miterlimit="83231f" joinstyle="miter"/>
                  <v:path arrowok="t" textboxrect="0,0,7553087,35533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ТРЕБОВАНИЯ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</w:rPr>
        <w:t>К  ОФОРМЛЕНИЮ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ТЕЗИСОВ ДОКЛАДОВ И СТАТЕЙ</w:t>
      </w:r>
    </w:p>
    <w:p w:rsidR="0034331E" w:rsidRDefault="0034331E" w:rsidP="0034331E">
      <w:pPr>
        <w:spacing w:after="0" w:line="298" w:lineRule="auto"/>
        <w:ind w:left="10" w:right="10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материалам конференции будет опубликован сборник научных статей, который будет размещен в </w:t>
      </w:r>
      <w:proofErr w:type="gramStart"/>
      <w:r>
        <w:rPr>
          <w:rFonts w:ascii="Times New Roman" w:eastAsia="Times New Roman" w:hAnsi="Times New Roman" w:cs="Times New Roman"/>
          <w:sz w:val="24"/>
        </w:rPr>
        <w:t>научной  электронной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библиотеке elibrary.r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u и зарегистрирован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наукометрической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базе  РИНЦ  (Российский  индекс  научного цитирования), включая присвоение кодов ISBN, УДК и ББК, рассылку по библиотекам. Статьи следует оформлять по ГОСТ 7.</w:t>
      </w:r>
      <w:proofErr w:type="gramStart"/>
      <w:r>
        <w:rPr>
          <w:rFonts w:ascii="Times New Roman" w:eastAsia="Times New Roman" w:hAnsi="Times New Roman" w:cs="Times New Roman"/>
          <w:sz w:val="24"/>
        </w:rPr>
        <w:t>07.-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2009. </w:t>
      </w:r>
    </w:p>
    <w:tbl>
      <w:tblPr>
        <w:tblStyle w:val="TableGrid"/>
        <w:tblW w:w="11292" w:type="dxa"/>
        <w:tblInd w:w="12" w:type="dxa"/>
        <w:tblCellMar>
          <w:top w:w="8" w:type="dxa"/>
          <w:left w:w="0" w:type="dxa"/>
          <w:bottom w:w="0" w:type="dxa"/>
          <w:right w:w="206" w:type="dxa"/>
        </w:tblCellMar>
        <w:tblLook w:val="04A0" w:firstRow="1" w:lastRow="0" w:firstColumn="1" w:lastColumn="0" w:noHBand="0" w:noVBand="1"/>
      </w:tblPr>
      <w:tblGrid>
        <w:gridCol w:w="5632"/>
        <w:gridCol w:w="5660"/>
      </w:tblGrid>
      <w:tr w:rsidR="0034331E" w:rsidTr="0015090B">
        <w:trPr>
          <w:trHeight w:val="3240"/>
        </w:trPr>
        <w:tc>
          <w:tcPr>
            <w:tcW w:w="11292" w:type="dxa"/>
            <w:gridSpan w:val="2"/>
            <w:tcBorders>
              <w:top w:val="single" w:sz="34" w:space="0" w:color="315E9D"/>
              <w:left w:val="single" w:sz="34" w:space="0" w:color="315E9D"/>
              <w:bottom w:val="single" w:sz="34" w:space="0" w:color="315E9D"/>
              <w:right w:val="single" w:sz="34" w:space="0" w:color="315E9D"/>
            </w:tcBorders>
            <w:vAlign w:val="center"/>
          </w:tcPr>
          <w:p w:rsidR="0034331E" w:rsidRDefault="0034331E" w:rsidP="0015090B">
            <w:pPr>
              <w:spacing w:after="30"/>
              <w:ind w:left="274"/>
            </w:pPr>
            <w:r>
              <w:rPr>
                <w:rFonts w:ascii="Times New Roman" w:eastAsia="Times New Roman" w:hAnsi="Times New Roman" w:cs="Times New Roman"/>
              </w:rPr>
              <w:t>Тезисы докладов представляются в электронном виде в формате 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одном из двух языков: </w:t>
            </w:r>
          </w:p>
          <w:p w:rsidR="0034331E" w:rsidRDefault="0034331E" w:rsidP="0015090B">
            <w:pPr>
              <w:spacing w:after="25"/>
              <w:ind w:left="274"/>
            </w:pPr>
            <w:r>
              <w:rPr>
                <w:rFonts w:ascii="Times New Roman" w:eastAsia="Times New Roman" w:hAnsi="Times New Roman" w:cs="Times New Roman"/>
              </w:rPr>
              <w:t xml:space="preserve">русском или английском: </w:t>
            </w:r>
          </w:p>
          <w:p w:rsidR="0034331E" w:rsidRDefault="0034331E" w:rsidP="0034331E">
            <w:pPr>
              <w:numPr>
                <w:ilvl w:val="0"/>
                <w:numId w:val="1"/>
              </w:numPr>
              <w:spacing w:line="28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объем до 5 страниц, выполненных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прикрепленных к письму в виде отдельного файла, формата А4 </w:t>
            </w:r>
          </w:p>
          <w:p w:rsidR="0034331E" w:rsidRDefault="0034331E" w:rsidP="0034331E">
            <w:pPr>
              <w:numPr>
                <w:ilvl w:val="0"/>
                <w:numId w:val="1"/>
              </w:numPr>
              <w:spacing w:after="29"/>
            </w:pPr>
            <w:r>
              <w:rPr>
                <w:rFonts w:ascii="Times New Roman" w:eastAsia="Times New Roman" w:hAnsi="Times New Roman" w:cs="Times New Roman"/>
              </w:rPr>
              <w:t xml:space="preserve">шрифт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основной –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сноска –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331E" w:rsidRDefault="0034331E" w:rsidP="0034331E">
            <w:pPr>
              <w:numPr>
                <w:ilvl w:val="0"/>
                <w:numId w:val="1"/>
              </w:numPr>
              <w:spacing w:after="29"/>
            </w:pPr>
            <w:r>
              <w:rPr>
                <w:rFonts w:ascii="Times New Roman" w:eastAsia="Times New Roman" w:hAnsi="Times New Roman" w:cs="Times New Roman"/>
              </w:rPr>
              <w:t xml:space="preserve">поля: верхнее – 2,0 см, нижнее – 2,0 см, левое – 3,0 см, правое – 1,5 см   </w:t>
            </w:r>
          </w:p>
          <w:p w:rsidR="0034331E" w:rsidRDefault="0034331E" w:rsidP="0034331E">
            <w:pPr>
              <w:numPr>
                <w:ilvl w:val="0"/>
                <w:numId w:val="1"/>
              </w:numPr>
              <w:spacing w:after="29"/>
            </w:pPr>
            <w:r>
              <w:rPr>
                <w:rFonts w:ascii="Times New Roman" w:eastAsia="Times New Roman" w:hAnsi="Times New Roman" w:cs="Times New Roman"/>
              </w:rPr>
              <w:t xml:space="preserve">абзацный отступ – 1,27 см </w:t>
            </w:r>
          </w:p>
          <w:p w:rsidR="0034331E" w:rsidRDefault="0034331E" w:rsidP="0034331E">
            <w:pPr>
              <w:numPr>
                <w:ilvl w:val="0"/>
                <w:numId w:val="1"/>
              </w:numPr>
              <w:spacing w:after="31"/>
            </w:pPr>
            <w:r>
              <w:rPr>
                <w:rFonts w:ascii="Times New Roman" w:eastAsia="Times New Roman" w:hAnsi="Times New Roman" w:cs="Times New Roman"/>
              </w:rPr>
              <w:t xml:space="preserve">выравнивание текста – по ширине </w:t>
            </w:r>
          </w:p>
          <w:p w:rsidR="0034331E" w:rsidRDefault="0034331E" w:rsidP="0034331E">
            <w:pPr>
              <w:numPr>
                <w:ilvl w:val="0"/>
                <w:numId w:val="1"/>
              </w:num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рисунки и таблицы должны быть пронумерованы в соответствии со ссылками на них в тексте и присланы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отдельными  файлами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331E" w:rsidRDefault="0034331E" w:rsidP="0034331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межстрочный интервал – 1,5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0034331E" w:rsidTr="0015090B">
        <w:trPr>
          <w:trHeight w:val="8527"/>
        </w:trPr>
        <w:tc>
          <w:tcPr>
            <w:tcW w:w="5632" w:type="dxa"/>
            <w:tcBorders>
              <w:top w:val="single" w:sz="34" w:space="0" w:color="315E9D"/>
              <w:left w:val="single" w:sz="34" w:space="0" w:color="315E9D"/>
              <w:bottom w:val="single" w:sz="34" w:space="0" w:color="315E9D"/>
              <w:right w:val="single" w:sz="34" w:space="0" w:color="315E9D"/>
            </w:tcBorders>
          </w:tcPr>
          <w:p w:rsidR="0034331E" w:rsidRDefault="0034331E" w:rsidP="0015090B">
            <w:pPr>
              <w:spacing w:after="26"/>
              <w:ind w:left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331E" w:rsidRDefault="0034331E" w:rsidP="0015090B">
            <w:pPr>
              <w:spacing w:after="26"/>
              <w:ind w:left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состав статьи следует включить: </w:t>
            </w:r>
          </w:p>
          <w:p w:rsidR="0034331E" w:rsidRDefault="0034331E" w:rsidP="0015090B">
            <w:pPr>
              <w:spacing w:line="285" w:lineRule="auto"/>
              <w:ind w:left="28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1.УДК: полужирным начертанием, в левом верхнему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углу,  без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абзацного отступа. </w:t>
            </w:r>
          </w:p>
          <w:p w:rsidR="0034331E" w:rsidRDefault="0034331E" w:rsidP="0015090B">
            <w:pPr>
              <w:tabs>
                <w:tab w:val="center" w:pos="757"/>
                <w:tab w:val="center" w:pos="1818"/>
                <w:tab w:val="center" w:pos="2960"/>
                <w:tab w:val="center" w:pos="3800"/>
                <w:tab w:val="right" w:pos="5427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2.Название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статьи: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полужирным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начертанием,  </w:t>
            </w:r>
          </w:p>
          <w:p w:rsidR="0034331E" w:rsidRDefault="0034331E" w:rsidP="0015090B">
            <w:pPr>
              <w:spacing w:line="292" w:lineRule="auto"/>
              <w:ind w:left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заглавными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буквами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центру,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без  абзацного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отступа. </w:t>
            </w:r>
          </w:p>
          <w:p w:rsidR="0034331E" w:rsidRDefault="0034331E" w:rsidP="0015090B">
            <w:pPr>
              <w:spacing w:line="287" w:lineRule="auto"/>
              <w:ind w:left="28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3.Сведения об авторе по правому краю,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абзацного  отступа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курсивом: </w:t>
            </w:r>
          </w:p>
          <w:p w:rsidR="0034331E" w:rsidRDefault="0034331E" w:rsidP="0015090B">
            <w:pPr>
              <w:spacing w:line="287" w:lineRule="auto"/>
              <w:ind w:left="281" w:right="1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Ф.И.О. полностью, ученая степень, ученое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звание,  должность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место работы или учебы, город, адрес  электронной почты. </w:t>
            </w:r>
          </w:p>
          <w:p w:rsidR="0034331E" w:rsidRDefault="0034331E" w:rsidP="0015090B">
            <w:pPr>
              <w:spacing w:line="286" w:lineRule="auto"/>
              <w:ind w:left="281" w:right="1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4.Аннотацию: размер шрифта (кегль) – 12; объем 30-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50  слов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выравнивание по ширине, с абзацным отступом. 5.Ключевые слова: размер шрифта (кегль) – 12; не более 8 слов и словосочетаний, выравнивание по ширине,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  абзацным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отступом. Просим уделить внимание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подбору  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более точных ключевых слов, поскольку  от  этого зависит эффективность работы поисковых систем,  узнаваемость и доступность статьи в сети Интернет. </w:t>
            </w:r>
          </w:p>
          <w:p w:rsidR="0034331E" w:rsidRDefault="0034331E" w:rsidP="0015090B">
            <w:pPr>
              <w:spacing w:after="1" w:line="286" w:lineRule="auto"/>
              <w:ind w:left="281" w:right="2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6.Название статьи, сведения об авторе, аннотация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  ключевые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слова на английском языке. 7.Текст статьи: выравнивание по ширине. </w:t>
            </w:r>
          </w:p>
          <w:p w:rsidR="0034331E" w:rsidRDefault="0034331E" w:rsidP="0015090B">
            <w:pPr>
              <w:spacing w:after="5" w:line="286" w:lineRule="auto"/>
              <w:ind w:left="281" w:right="19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8.Список использованных источников: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полужирным  начертанием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Список оформляется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 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ГОСТ  Р 7.05-2008 «Библиографическая ссылка».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Нумерация  источников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автоматическая.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Автор отвечает за достоверность сведений,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точность  цитирования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ссылок на официальные документы и  другие источники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Отсылки, используемые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для  связи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текста с библиографическим списком, оформляются с  указанием страниц [1, с. 15] либо без указания страниц  [1]. Если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используется сразу несколько ссылок,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то  перечислять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через точку с запятой [1; 5].  </w:t>
            </w:r>
          </w:p>
          <w:p w:rsidR="0034331E" w:rsidRDefault="0034331E" w:rsidP="0015090B">
            <w:pPr>
              <w:ind w:left="2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Тезисы, оформленные не по требованиям, отклоняются. </w:t>
            </w:r>
          </w:p>
        </w:tc>
        <w:tc>
          <w:tcPr>
            <w:tcW w:w="5660" w:type="dxa"/>
            <w:tcBorders>
              <w:top w:val="single" w:sz="34" w:space="0" w:color="315E9D"/>
              <w:left w:val="single" w:sz="34" w:space="0" w:color="315E9D"/>
              <w:bottom w:val="single" w:sz="34" w:space="0" w:color="315E9D"/>
              <w:right w:val="single" w:sz="34" w:space="0" w:color="315E9D"/>
            </w:tcBorders>
          </w:tcPr>
          <w:p w:rsidR="0034331E" w:rsidRDefault="0034331E" w:rsidP="00150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34331E" w:rsidRDefault="0034331E" w:rsidP="0015090B">
            <w:pPr>
              <w:spacing w:after="26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УДК </w:t>
            </w:r>
          </w:p>
          <w:p w:rsidR="0034331E" w:rsidRDefault="0034331E" w:rsidP="0015090B">
            <w:pPr>
              <w:spacing w:after="25"/>
              <w:ind w:left="769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ОРГАНИЗАЦИОННЫЕ  ОСОБЕННОСТИ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331E" w:rsidRDefault="0034331E" w:rsidP="0015090B">
            <w:pPr>
              <w:spacing w:after="25"/>
              <w:ind w:left="9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РЕАЛИЗАЦИИ УПРАВЛЕНЧЕСКИХ  </w:t>
            </w:r>
          </w:p>
          <w:p w:rsidR="0034331E" w:rsidRDefault="0034331E" w:rsidP="0015090B">
            <w:pPr>
              <w:spacing w:after="20"/>
              <w:ind w:left="4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ИННОВАЦИЙ НА КРУПНЫХ ПРЕДПРИЯТИЯХ </w:t>
            </w:r>
          </w:p>
          <w:p w:rsidR="0034331E" w:rsidRDefault="0034331E" w:rsidP="0015090B">
            <w:pPr>
              <w:spacing w:after="24"/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Антонов С.А,   </w:t>
            </w:r>
          </w:p>
          <w:p w:rsidR="0034331E" w:rsidRDefault="0034331E" w:rsidP="0015090B">
            <w:pPr>
              <w:spacing w:after="1" w:line="287" w:lineRule="auto"/>
              <w:ind w:left="1646" w:hanging="49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к.э.н., доцент, декан факультета менеджмента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и  инженерного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бизнеса ЧОУ ВО «Казанский  </w:t>
            </w:r>
          </w:p>
          <w:p w:rsidR="0034331E" w:rsidRDefault="0034331E" w:rsidP="0015090B">
            <w:pPr>
              <w:spacing w:after="45"/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инновационный университет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331E" w:rsidRDefault="0034331E" w:rsidP="0015090B">
            <w:pPr>
              <w:spacing w:after="34" w:line="271" w:lineRule="auto"/>
              <w:ind w:left="3792" w:hanging="197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имени В.Г.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Тимирясова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(ИЭУП)», г. Казань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15E9D"/>
                <w:sz w:val="18"/>
                <w:u w:val="single" w:color="315E9D"/>
              </w:rPr>
              <w:t>santonov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15E9D"/>
                <w:sz w:val="18"/>
              </w:rPr>
              <w:t>@</w:t>
            </w:r>
            <w:r>
              <w:rPr>
                <w:rFonts w:ascii="Times New Roman" w:eastAsia="Times New Roman" w:hAnsi="Times New Roman" w:cs="Times New Roman"/>
                <w:i/>
                <w:color w:val="315E9D"/>
                <w:sz w:val="18"/>
                <w:u w:val="single" w:color="315E9D"/>
              </w:rPr>
              <w:t xml:space="preserve"> ieml.ru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331E" w:rsidRPr="005224F6" w:rsidRDefault="0034331E" w:rsidP="0015090B">
            <w:pPr>
              <w:spacing w:after="46"/>
              <w:ind w:left="28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Аннотация</w:t>
            </w: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: </w:t>
            </w:r>
          </w:p>
          <w:p w:rsidR="0034331E" w:rsidRPr="005224F6" w:rsidRDefault="0034331E" w:rsidP="0015090B">
            <w:pPr>
              <w:spacing w:after="10"/>
              <w:ind w:left="28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Ключевые</w:t>
            </w: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слова</w:t>
            </w: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: </w:t>
            </w:r>
          </w:p>
          <w:p w:rsidR="0034331E" w:rsidRPr="005224F6" w:rsidRDefault="0034331E" w:rsidP="0015090B">
            <w:pPr>
              <w:ind w:left="282"/>
              <w:rPr>
                <w:lang w:val="en-US"/>
              </w:rPr>
            </w:pPr>
            <w:r w:rsidRPr="005224F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34331E" w:rsidRPr="005224F6" w:rsidRDefault="0034331E" w:rsidP="0015090B">
            <w:pPr>
              <w:ind w:left="889"/>
              <w:rPr>
                <w:lang w:val="en-US"/>
              </w:rPr>
            </w:pP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ORGANIZATIONAL FEATURES OF  </w:t>
            </w:r>
          </w:p>
          <w:p w:rsidR="0034331E" w:rsidRPr="005224F6" w:rsidRDefault="0034331E" w:rsidP="0015090B">
            <w:pPr>
              <w:ind w:left="347"/>
              <w:rPr>
                <w:lang w:val="en-US"/>
              </w:rPr>
            </w:pP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REALIZATION OF MANAGING INNOVATIONS  </w:t>
            </w:r>
          </w:p>
          <w:p w:rsidR="0034331E" w:rsidRPr="005224F6" w:rsidRDefault="0034331E" w:rsidP="0015090B">
            <w:pPr>
              <w:ind w:left="1290"/>
              <w:rPr>
                <w:lang w:val="en-US"/>
              </w:rPr>
            </w:pP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IN LARGE ENTERPRISES </w:t>
            </w:r>
          </w:p>
          <w:p w:rsidR="0034331E" w:rsidRPr="005224F6" w:rsidRDefault="0034331E" w:rsidP="0015090B">
            <w:pPr>
              <w:spacing w:line="249" w:lineRule="auto"/>
              <w:ind w:left="407" w:firstLine="3941"/>
              <w:jc w:val="both"/>
              <w:rPr>
                <w:lang w:val="en-US"/>
              </w:rPr>
            </w:pPr>
            <w:proofErr w:type="spellStart"/>
            <w:r w:rsidRPr="005224F6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Antonov</w:t>
            </w:r>
            <w:proofErr w:type="spellEnd"/>
            <w:r w:rsidRPr="005224F6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 S.A.   PhD (Economics), associate professor, the dean of Faculty of</w:t>
            </w: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34331E" w:rsidRPr="005224F6" w:rsidRDefault="0034331E" w:rsidP="0015090B">
            <w:pPr>
              <w:ind w:right="137"/>
              <w:jc w:val="right"/>
              <w:rPr>
                <w:lang w:val="en-US"/>
              </w:rPr>
            </w:pPr>
            <w:r w:rsidRPr="005224F6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Management and  Engineering Business</w:t>
            </w: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34331E" w:rsidRPr="005224F6" w:rsidRDefault="0034331E" w:rsidP="0015090B">
            <w:pPr>
              <w:ind w:left="779"/>
              <w:rPr>
                <w:lang w:val="en-US"/>
              </w:rPr>
            </w:pPr>
            <w:r w:rsidRPr="005224F6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Kazan Innovative University named after </w:t>
            </w:r>
            <w:proofErr w:type="spellStart"/>
            <w:r w:rsidRPr="005224F6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V.G.Timiryasov</w:t>
            </w:r>
            <w:proofErr w:type="spellEnd"/>
            <w:r w:rsidRPr="005224F6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,</w:t>
            </w: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34331E" w:rsidRPr="005224F6" w:rsidRDefault="0034331E" w:rsidP="0015090B">
            <w:pPr>
              <w:spacing w:after="28" w:line="263" w:lineRule="auto"/>
              <w:ind w:left="282" w:right="125" w:firstLine="4549"/>
              <w:jc w:val="both"/>
              <w:rPr>
                <w:lang w:val="en-US"/>
              </w:rPr>
            </w:pPr>
            <w:r w:rsidRPr="005224F6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Kazan  </w:t>
            </w:r>
            <w:r w:rsidRPr="005224F6">
              <w:rPr>
                <w:rFonts w:ascii="Times New Roman" w:eastAsia="Times New Roman" w:hAnsi="Times New Roman" w:cs="Times New Roman"/>
                <w:i/>
                <w:sz w:val="18"/>
                <w:u w:val="single" w:color="315E9D"/>
                <w:lang w:val="en-US"/>
              </w:rPr>
              <w:t xml:space="preserve"> </w:t>
            </w:r>
            <w:proofErr w:type="spellStart"/>
            <w:r w:rsidRPr="005224F6">
              <w:rPr>
                <w:rFonts w:ascii="Times New Roman" w:eastAsia="Times New Roman" w:hAnsi="Times New Roman" w:cs="Times New Roman"/>
                <w:i/>
                <w:color w:val="315E9D"/>
                <w:sz w:val="18"/>
                <w:u w:val="single" w:color="315E9D"/>
                <w:lang w:val="en-US"/>
              </w:rPr>
              <w:t>santonov</w:t>
            </w:r>
            <w:proofErr w:type="spellEnd"/>
            <w:r w:rsidRPr="005224F6">
              <w:rPr>
                <w:rFonts w:ascii="Times New Roman" w:eastAsia="Times New Roman" w:hAnsi="Times New Roman" w:cs="Times New Roman"/>
                <w:i/>
                <w:color w:val="315E9D"/>
                <w:sz w:val="18"/>
                <w:lang w:val="en-US"/>
              </w:rPr>
              <w:t>@</w:t>
            </w:r>
            <w:r w:rsidRPr="005224F6">
              <w:rPr>
                <w:rFonts w:ascii="Times New Roman" w:eastAsia="Times New Roman" w:hAnsi="Times New Roman" w:cs="Times New Roman"/>
                <w:color w:val="315E9D"/>
                <w:sz w:val="18"/>
                <w:u w:val="single" w:color="315E9D"/>
                <w:lang w:val="en-US"/>
              </w:rPr>
              <w:t xml:space="preserve"> </w:t>
            </w:r>
            <w:r w:rsidRPr="005224F6">
              <w:rPr>
                <w:rFonts w:ascii="Times New Roman" w:eastAsia="Times New Roman" w:hAnsi="Times New Roman" w:cs="Times New Roman"/>
                <w:i/>
                <w:color w:val="315E9D"/>
                <w:sz w:val="18"/>
                <w:u w:val="single" w:color="315E9D"/>
                <w:lang w:val="en-US"/>
              </w:rPr>
              <w:t>ieml.ru</w:t>
            </w:r>
            <w:r w:rsidRPr="005224F6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Abstract: Key words: </w:t>
            </w:r>
          </w:p>
          <w:p w:rsidR="0034331E" w:rsidRPr="005224F6" w:rsidRDefault="0034331E" w:rsidP="0015090B">
            <w:pPr>
              <w:ind w:left="282"/>
              <w:rPr>
                <w:lang w:val="en-US"/>
              </w:rPr>
            </w:pPr>
            <w:r w:rsidRPr="005224F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4331E" w:rsidRDefault="0034331E" w:rsidP="0015090B">
            <w:pPr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Одной из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проблем….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34331E" w:rsidTr="0015090B">
        <w:trPr>
          <w:trHeight w:val="1651"/>
        </w:trPr>
        <w:tc>
          <w:tcPr>
            <w:tcW w:w="11292" w:type="dxa"/>
            <w:gridSpan w:val="2"/>
            <w:tcBorders>
              <w:top w:val="single" w:sz="34" w:space="0" w:color="315E9D"/>
              <w:left w:val="single" w:sz="34" w:space="0" w:color="315E9D"/>
              <w:bottom w:val="single" w:sz="34" w:space="0" w:color="315E9D"/>
              <w:right w:val="single" w:sz="34" w:space="0" w:color="315E9D"/>
            </w:tcBorders>
          </w:tcPr>
          <w:p w:rsidR="0034331E" w:rsidRDefault="0034331E" w:rsidP="0015090B">
            <w:pPr>
              <w:spacing w:after="335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34331E" w:rsidRDefault="0034331E" w:rsidP="0015090B">
            <w:pPr>
              <w:ind w:left="341" w:right="13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  целях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обеспечения  качества  публикуемых  материалов  все  статьи  проходят  проверку  через  систему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Итоговая оценка текста должна быть 100% (оригинальность 80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%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цитируемость 20%, заимствования 0%). При отклонении статьи из-за нарушения сроков, несоответствия требованиям оформления и подачи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заявки  рукописи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публикуются и не возвращаются. </w:t>
            </w:r>
          </w:p>
        </w:tc>
      </w:tr>
    </w:tbl>
    <w:p w:rsidR="0034331E" w:rsidRDefault="0034331E" w:rsidP="0034331E">
      <w:pPr>
        <w:spacing w:after="48"/>
        <w:ind w:left="306"/>
        <w:jc w:val="center"/>
      </w:pPr>
      <w:r>
        <w:rPr>
          <w:rFonts w:ascii="Times New Roman" w:eastAsia="Times New Roman" w:hAnsi="Times New Roman" w:cs="Times New Roman"/>
          <w:color w:val="002060"/>
          <w:sz w:val="36"/>
        </w:rPr>
        <w:t xml:space="preserve"> </w:t>
      </w:r>
    </w:p>
    <w:p w:rsidR="0034331E" w:rsidRPr="0034331E" w:rsidRDefault="0034331E" w:rsidP="0034331E"/>
    <w:sectPr w:rsidR="0034331E" w:rsidRPr="0034331E" w:rsidSect="0034331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39D3"/>
    <w:multiLevelType w:val="hybridMultilevel"/>
    <w:tmpl w:val="2E7A7BD2"/>
    <w:lvl w:ilvl="0" w:tplc="CECAC000">
      <w:start w:val="1"/>
      <w:numFmt w:val="bullet"/>
      <w:lvlText w:val="•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A8BB2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4BF7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2E516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6F5D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C6C8E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A57C0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2D058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CE224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1E"/>
    <w:rsid w:val="0034331E"/>
    <w:rsid w:val="00D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EF95"/>
  <w15:chartTrackingRefBased/>
  <w15:docId w15:val="{58AA4CD9-C454-4B0B-A877-ADB214E8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1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33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1</cp:revision>
  <dcterms:created xsi:type="dcterms:W3CDTF">2021-03-17T18:36:00Z</dcterms:created>
  <dcterms:modified xsi:type="dcterms:W3CDTF">2021-03-17T18:37:00Z</dcterms:modified>
</cp:coreProperties>
</file>